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6D" w:rsidRDefault="00645355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Farmakologia  z farmakoterapią w ratownictwie medycznym</w:t>
      </w:r>
    </w:p>
    <w:p w:rsidR="00E5486D" w:rsidRDefault="00645355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kierunek: </w:t>
      </w:r>
      <w:r>
        <w:rPr>
          <w:b/>
          <w:bCs/>
          <w:color w:val="002060"/>
          <w:sz w:val="28"/>
          <w:szCs w:val="28"/>
          <w:u w:color="002060"/>
        </w:rPr>
        <w:t xml:space="preserve">RATOWNICTWO MEDYCZNE  </w:t>
      </w:r>
      <w:r>
        <w:rPr>
          <w:b/>
          <w:bCs/>
          <w:sz w:val="28"/>
          <w:szCs w:val="28"/>
        </w:rPr>
        <w:t xml:space="preserve">2023/2024 Rok studiów:  I , semestr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Wykłady – 10h, Seminaria 45h</w:t>
      </w:r>
    </w:p>
    <w:p w:rsidR="00E5486D" w:rsidRDefault="00645355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I</w:t>
      </w:r>
    </w:p>
    <w:p w:rsidR="00E5486D" w:rsidRDefault="00645355">
      <w:pPr>
        <w:spacing w:after="60"/>
        <w:jc w:val="center"/>
      </w:pPr>
      <w:r>
        <w:rPr>
          <w:b/>
          <w:color w:val="FF0000"/>
          <w:sz w:val="24"/>
          <w:szCs w:val="24"/>
        </w:rPr>
        <w:t xml:space="preserve">Plan może ulec zmianie, aktualny plan zostanie umieszczony na stronie internetowej Katedry i Zakładu Farmacji Klinicznej i Biofarmacji </w:t>
      </w:r>
      <w:hyperlink r:id="rId6">
        <w:r>
          <w:rPr>
            <w:rStyle w:val="czeinternetowe"/>
            <w:b/>
            <w:color w:val="0070C0"/>
            <w:sz w:val="24"/>
            <w:szCs w:val="24"/>
          </w:rPr>
          <w:t>https://farmklin.ump.edu.pl/</w:t>
        </w:r>
      </w:hyperlink>
      <w:r>
        <w:rPr>
          <w:b/>
          <w:color w:val="FF0000"/>
          <w:sz w:val="24"/>
          <w:szCs w:val="24"/>
        </w:rPr>
        <w:t xml:space="preserve"> przed rozpoczęciem semestru letniego</w:t>
      </w:r>
    </w:p>
    <w:tbl>
      <w:tblPr>
        <w:tblStyle w:val="Tabela-Siatka1"/>
        <w:tblW w:w="13995" w:type="dxa"/>
        <w:tblLook w:val="04A0" w:firstRow="1" w:lastRow="0" w:firstColumn="1" w:lastColumn="0" w:noHBand="0" w:noVBand="1"/>
      </w:tblPr>
      <w:tblGrid>
        <w:gridCol w:w="1697"/>
        <w:gridCol w:w="1559"/>
        <w:gridCol w:w="6377"/>
        <w:gridCol w:w="4362"/>
      </w:tblGrid>
      <w:tr w:rsidR="00E5486D">
        <w:tc>
          <w:tcPr>
            <w:tcW w:w="3255" w:type="dxa"/>
            <w:gridSpan w:val="2"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486D">
        <w:tc>
          <w:tcPr>
            <w:tcW w:w="3255" w:type="dxa"/>
            <w:gridSpan w:val="2"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WYKŁADY TEAMS</w:t>
            </w:r>
          </w:p>
        </w:tc>
        <w:tc>
          <w:tcPr>
            <w:tcW w:w="4362" w:type="dxa"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486D">
        <w:tc>
          <w:tcPr>
            <w:tcW w:w="1696" w:type="dxa"/>
            <w:shd w:val="clear" w:color="auto" w:fill="auto"/>
          </w:tcPr>
          <w:p w:rsidR="00E5486D" w:rsidRDefault="00645355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E5486D" w:rsidRDefault="00645355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 prowadząca</w:t>
            </w:r>
          </w:p>
        </w:tc>
      </w:tr>
      <w:tr w:rsidR="00E5486D">
        <w:trPr>
          <w:trHeight w:val="22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E5486D" w:rsidRDefault="00645355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2024-01-30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486D" w:rsidRDefault="00645355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10.45-12.15</w:t>
            </w: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 xml:space="preserve">Podstawy farmakologii – farmakodynamika 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486D">
        <w:trPr>
          <w:trHeight w:val="225"/>
        </w:trPr>
        <w:tc>
          <w:tcPr>
            <w:tcW w:w="1696" w:type="dxa"/>
            <w:vMerge/>
            <w:shd w:val="clear" w:color="auto" w:fill="auto"/>
            <w:vAlign w:val="center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 xml:space="preserve">Podstawy farmakologii - farmakokinetyka i drogi podania i postacie leków 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486D">
        <w:trPr>
          <w:trHeight w:val="22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E5486D" w:rsidRDefault="00645355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2024-02-06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486D" w:rsidRDefault="00E54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86D" w:rsidRDefault="0064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 xml:space="preserve">Leki przeciwbólowe opioidowe 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Dr hab. farm. Danuta Szkutnik - Fiedler</w:t>
            </w:r>
          </w:p>
        </w:tc>
      </w:tr>
      <w:tr w:rsidR="00E5486D">
        <w:trPr>
          <w:trHeight w:val="225"/>
        </w:trPr>
        <w:tc>
          <w:tcPr>
            <w:tcW w:w="1696" w:type="dxa"/>
            <w:vMerge/>
            <w:shd w:val="clear" w:color="auto" w:fill="auto"/>
            <w:vAlign w:val="center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>Leki przeciwbólowe nieopioidowe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Dr hab. farm. Danuta Szkutnik - Fiedler</w:t>
            </w:r>
          </w:p>
        </w:tc>
      </w:tr>
      <w:tr w:rsidR="00E5486D">
        <w:trPr>
          <w:trHeight w:val="22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E5486D" w:rsidRDefault="00645355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2024-02-20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486D" w:rsidRDefault="00E54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86D" w:rsidRDefault="0064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16:45-18:15</w:t>
            </w: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>Leki działające na AUN – mechanizm działania i grupy farmakologiczne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E5486D">
        <w:trPr>
          <w:trHeight w:val="225"/>
        </w:trPr>
        <w:tc>
          <w:tcPr>
            <w:tcW w:w="1696" w:type="dxa"/>
            <w:vMerge/>
            <w:shd w:val="clear" w:color="auto" w:fill="auto"/>
            <w:vAlign w:val="center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>Leki działające na AUN – mechanizm działania i grupy farmakologiczne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E5486D">
        <w:trPr>
          <w:trHeight w:val="225"/>
        </w:trPr>
        <w:tc>
          <w:tcPr>
            <w:tcW w:w="1696" w:type="dxa"/>
            <w:vMerge w:val="restart"/>
            <w:shd w:val="clear" w:color="auto" w:fill="auto"/>
          </w:tcPr>
          <w:p w:rsidR="00E5486D" w:rsidRDefault="0064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2024-02-20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486D" w:rsidRDefault="00E54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86D" w:rsidRDefault="0064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 xml:space="preserve">Leki nasenne i uspokajające 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486D">
        <w:trPr>
          <w:trHeight w:val="225"/>
        </w:trPr>
        <w:tc>
          <w:tcPr>
            <w:tcW w:w="1696" w:type="dxa"/>
            <w:vMerge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 xml:space="preserve"> Leki znieczulające ogólnie i miejscowo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486D">
        <w:trPr>
          <w:trHeight w:val="225"/>
        </w:trPr>
        <w:tc>
          <w:tcPr>
            <w:tcW w:w="1696" w:type="dxa"/>
            <w:vMerge w:val="restart"/>
            <w:shd w:val="clear" w:color="auto" w:fill="auto"/>
          </w:tcPr>
          <w:p w:rsidR="00E5486D" w:rsidRDefault="0064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2024-02-21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486D" w:rsidRDefault="00645355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14.00-15.30</w:t>
            </w: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>Leki stosowane w zakażeniach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E5486D">
        <w:trPr>
          <w:trHeight w:val="225"/>
        </w:trPr>
        <w:tc>
          <w:tcPr>
            <w:tcW w:w="1696" w:type="dxa"/>
            <w:vMerge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486D" w:rsidRDefault="00E5486D">
            <w:p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t>Leki stosowane w chorobie Parkinsona i Alzheimera</w:t>
            </w:r>
          </w:p>
        </w:tc>
        <w:tc>
          <w:tcPr>
            <w:tcW w:w="4362" w:type="dxa"/>
            <w:shd w:val="clear" w:color="auto" w:fill="auto"/>
          </w:tcPr>
          <w:p w:rsidR="00E5486D" w:rsidRDefault="00645355">
            <w:pPr>
              <w:spacing w:after="0" w:line="240" w:lineRule="auto"/>
            </w:pPr>
            <w:r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</w:tbl>
    <w:p w:rsidR="00E5486D" w:rsidRDefault="00E5486D">
      <w:pPr>
        <w:spacing w:after="60"/>
        <w:jc w:val="center"/>
        <w:rPr>
          <w:bCs/>
          <w:sz w:val="24"/>
          <w:szCs w:val="24"/>
        </w:rPr>
      </w:pPr>
    </w:p>
    <w:p w:rsidR="00E5486D" w:rsidRDefault="00E5486D">
      <w:pPr>
        <w:spacing w:after="60"/>
        <w:jc w:val="center"/>
        <w:rPr>
          <w:b/>
          <w:bCs/>
          <w:sz w:val="16"/>
          <w:szCs w:val="16"/>
        </w:rPr>
      </w:pPr>
    </w:p>
    <w:p w:rsidR="00E5486D" w:rsidRDefault="00E5486D">
      <w:pPr>
        <w:spacing w:after="6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31562" w:type="dxa"/>
        <w:tblInd w:w="-431" w:type="dxa"/>
        <w:shd w:val="clear" w:color="auto" w:fill="CED7E7"/>
        <w:tblLook w:val="04A0" w:firstRow="1" w:lastRow="0" w:firstColumn="1" w:lastColumn="0" w:noHBand="0" w:noVBand="1"/>
      </w:tblPr>
      <w:tblGrid>
        <w:gridCol w:w="1523"/>
        <w:gridCol w:w="1982"/>
        <w:gridCol w:w="5954"/>
        <w:gridCol w:w="5256"/>
        <w:gridCol w:w="1067"/>
        <w:gridCol w:w="9"/>
        <w:gridCol w:w="5247"/>
        <w:gridCol w:w="9"/>
        <w:gridCol w:w="5247"/>
        <w:gridCol w:w="9"/>
        <w:gridCol w:w="5259"/>
      </w:tblGrid>
      <w:tr w:rsidR="00E5486D">
        <w:trPr>
          <w:trHeight w:val="1130"/>
        </w:trPr>
        <w:tc>
          <w:tcPr>
            <w:tcW w:w="15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86D" w:rsidRDefault="00645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SEMINARIA grupa I (1-4)</w:t>
            </w:r>
          </w:p>
        </w:tc>
        <w:tc>
          <w:tcPr>
            <w:tcW w:w="525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5486D" w:rsidRDefault="00E5486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E5486D" w:rsidRDefault="006453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Leki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przeciwnadciśnieniowe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E5486D" w:rsidRDefault="006453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E81862"/>
                <w:u w:color="E81862"/>
              </w:rPr>
              <w:t>dr farm. Joanna Porażka</w:t>
            </w:r>
          </w:p>
        </w:tc>
      </w:tr>
      <w:tr w:rsidR="00E5486D">
        <w:trPr>
          <w:trHeight w:val="35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 w:rsidP="00E03C6A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13.00-</w:t>
            </w:r>
            <w:r w:rsidR="00E03C6A" w:rsidRPr="00E03C6A">
              <w:rPr>
                <w:rFonts w:ascii="Times New Roman" w:hAnsi="Times New Roman" w:cs="Times New Roman"/>
                <w:color w:val="auto"/>
                <w:highlight w:val="yellow"/>
              </w:rPr>
              <w:t>15:15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2024-02-22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Ringeri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/zbilansowany płyn elektrolitowy, Płyn fizjologiczny, wieloelektrolitowy izotoniczny,  płyny koloidowe niewymagające pobierania przed iniekcją krwi na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grupę oraz próby krzyżowej (skrobia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hydroksyetylowana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żelatyna modyfikowana)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lastRenderedPageBreak/>
              <w:t xml:space="preserve">mgr farm. Arkadiusz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Adamiszak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-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Amiodaroni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Hydrochloricum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Adenosinum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 xml:space="preserve">mgr farm. Arkadiusz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Adamiszak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Isosorbidi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Mononitras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Glyceroli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Trinitras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Atropinuni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sulfas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Magnesii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Sulfas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 xml:space="preserve">mgr farm. Arkadiusz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Adamiszak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13.00-16.00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2024-02-29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Leki wpływające na czynność układu pokarmowego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92D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Dr n. farm. Katarzyna Sobańska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Bazy danych o lekach.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ChPL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92D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Dr n. farm. Katarzyna Sobańska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693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Leki krótko i długodziałające. Podstawowe parametry PK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92D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Dr n. farm. Katarzyna Sobańska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Podstawowe obliczenia PK. Zasady dawkowania leków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92D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Dr n. farm. Katarzyna Sobańska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13.00-16.00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2024-03-07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Clopidogrelum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Heparini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natricum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Ticareglor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mgr farm. Filip Otto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2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Metoprololi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tartras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Rocuronii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bromide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mgr farm. Filip Otto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Epinefrinum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Lidocaini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hydrochloridum</w:t>
            </w:r>
            <w:proofErr w:type="spellEnd"/>
          </w:p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mgr farm. Filip Otto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Leki przeciwpadaczkowe. Leki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przeciwarytmiczne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Dr n. farm. Katarzyna Sobańska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 w:rsidP="00E03C6A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13.00-</w:t>
            </w:r>
            <w:r w:rsidR="00E03C6A" w:rsidRPr="00E03C6A">
              <w:rPr>
                <w:rFonts w:ascii="Times New Roman" w:hAnsi="Times New Roman" w:cs="Times New Roman"/>
                <w:color w:val="auto"/>
                <w:highlight w:val="yellow"/>
              </w:rPr>
              <w:t>15:15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2024-03-14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Captoprilum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Urapidilum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D966" w:themeColor="accent4" w:themeTint="99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highlight w:val="cy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Działania niepożądane leków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D966" w:themeColor="accent4" w:themeTint="99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Paracetamolum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Metamizolum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Natricum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D966" w:themeColor="accent4" w:themeTint="99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13.00-16.00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2024-03-21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Acidum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salicylicum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Ketoprofenum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Ibuprofenum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Dr hab. farm. Danuta Szkutnik - Fiedler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Drotaverini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hydrochlochloridum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Papaverini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Hydrocholridum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Dr hab. farm. Danuta Szkutnik - Fiedler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Morphini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sulfas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Fentanylum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Naloxoni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hydrochloridum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Dr hab. farm. Danuta Szkutnik - Fiedler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33329C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13.00-16.0</w:t>
            </w:r>
            <w:bookmarkStart w:id="0" w:name="_GoBack"/>
            <w:bookmarkEnd w:id="0"/>
            <w:r w:rsidR="00645355">
              <w:rPr>
                <w:rFonts w:cstheme="minorHAnsi"/>
                <w:color w:val="auto"/>
              </w:rPr>
              <w:t>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2024-04-04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Zaliczenie cząstkowe. </w:t>
            </w:r>
          </w:p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Mannitolum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15%,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Furosemidum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Reakcje anafilaktyczne. Leki przeciwalergiczne.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–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Budosenisum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Salbutamolum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tlen medyczny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–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Hydrocortisonum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Clemastinum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Dexametasoni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phosphas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Pr="0033329C" w:rsidRDefault="00645355" w:rsidP="00E03C6A">
            <w:pPr>
              <w:spacing w:after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3329C">
              <w:rPr>
                <w:rFonts w:cstheme="minorHAnsi"/>
                <w:color w:val="auto"/>
                <w:highlight w:val="yellow"/>
              </w:rPr>
              <w:t>13.00-</w:t>
            </w:r>
            <w:r w:rsidR="0033329C" w:rsidRPr="0033329C">
              <w:rPr>
                <w:rFonts w:cstheme="minorHAnsi"/>
                <w:color w:val="auto"/>
                <w:highlight w:val="yellow"/>
              </w:rPr>
              <w:t>16:00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2024-04-11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Leki stosowane we wstrząsie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mgr farm. Filip Otto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Postępowanie farmakologiczne w zawale serca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mgr farm. Filip Otto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Farmakoterapia napadów niedokrwiennych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mgr farm. Filip Otto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13.00-16.00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2024-04-18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chloridum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0,9%,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hydrogenocarbonas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8,4%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33CC"/>
              </w:rPr>
            </w:pPr>
            <w:r>
              <w:rPr>
                <w:rFonts w:ascii="Times New Roman" w:hAnsi="Times New Roman" w:cs="Times New Roman"/>
                <w:b/>
                <w:bCs/>
                <w:color w:val="FF33CC"/>
              </w:rPr>
              <w:t xml:space="preserve">dr n. med. Joanna Stanisławiak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CC"/>
              </w:rPr>
              <w:t>Rudowicz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Glucosum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5%,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Glucosum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20%,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Glucagoni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Hydrochloridum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Thietylperazinum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Metoclopramidum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33CC"/>
              </w:rPr>
            </w:pPr>
            <w:r>
              <w:rPr>
                <w:rFonts w:ascii="Times New Roman" w:hAnsi="Times New Roman" w:cs="Times New Roman"/>
                <w:b/>
                <w:bCs/>
                <w:color w:val="FF33CC"/>
              </w:rPr>
              <w:t xml:space="preserve">dr n. med. Joanna Stanisławiak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CC"/>
              </w:rPr>
              <w:t>Rudowicz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Leki wpływające na układ krwiotwórczy i płyny elektrolitowe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FF33CC"/>
              </w:rPr>
            </w:pPr>
            <w:r>
              <w:rPr>
                <w:rFonts w:ascii="Times New Roman" w:hAnsi="Times New Roman" w:cs="Times New Roman"/>
                <w:b/>
                <w:bCs/>
                <w:color w:val="FF33CC"/>
              </w:rPr>
              <w:t xml:space="preserve">dr n. med. Joanna Stanisławiak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CC"/>
              </w:rPr>
              <w:t>Rudowicz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13.00-16.00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2024-04-25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Farmakoterapia napadów lęku i depresji.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Prepraty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Midazolamum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Diazepamum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Preparaty -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Clonazepamum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Flumazenilum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Hydroxizinum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Leki przeciwdepresyjne,  Leki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przeciwlękowe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przeciwpsychotyczne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auto"/>
              </w:rPr>
              <w:t>13.00-</w:t>
            </w:r>
            <w:r>
              <w:rPr>
                <w:rFonts w:cstheme="minorHAnsi"/>
                <w:color w:val="auto"/>
                <w:highlight w:val="yellow"/>
              </w:rPr>
              <w:t>16.00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2024-05-09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Leki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przeciwnadciśnieniowe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mgr farm. Filip Kwiatkowski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Leki stosowane w chorobie niedokrwiennej serca i niewydolności serca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mgr farm. Filip Kwiatkowski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530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Leki przeciwzakrzepowe. Leki przeciwcukrzycowe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mgr farm. Filip Kwiatkowski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auto"/>
              </w:rPr>
              <w:t>13.00-</w:t>
            </w:r>
            <w:r>
              <w:rPr>
                <w:rFonts w:cstheme="minorHAnsi"/>
                <w:color w:val="auto"/>
                <w:highlight w:val="yellow"/>
              </w:rPr>
              <w:t>16.00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2024-05-16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Leki hormonalne Postępowanie w hiper- i hipoglikemii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Mgr farm. Filip Kwiatkowski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Przeliczanie dawek, stężeń i szybkości wlewu.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1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Mgr farm. Filip Kwiatkowski 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Przeliczanie dawek, stężeń i szybkości wlewu.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Mgr farm. Filip Kwiatkowski </w:t>
            </w:r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3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12:00-14:15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17.06.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Leki przeciwastmatyczne, Powtórzenie materiału.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Ketamina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Etomidat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486D">
        <w:trPr>
          <w:trHeight w:val="65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E5486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86D" w:rsidRDefault="00645355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  <w:tc>
          <w:tcPr>
            <w:tcW w:w="1067" w:type="dxa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2"/>
            <w:shd w:val="clear" w:color="auto" w:fill="CED7E7"/>
          </w:tcPr>
          <w:p w:rsidR="00E5486D" w:rsidRDefault="00E54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486D" w:rsidRDefault="00E5486D"/>
    <w:sectPr w:rsidR="00E5486D">
      <w:pgSz w:w="16838" w:h="11906" w:orient="landscape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4BE"/>
    <w:multiLevelType w:val="multilevel"/>
    <w:tmpl w:val="9320D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1E3C85"/>
    <w:multiLevelType w:val="multilevel"/>
    <w:tmpl w:val="EF2E665A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6D"/>
    <w:rsid w:val="0033329C"/>
    <w:rsid w:val="00645355"/>
    <w:rsid w:val="00E03C6A"/>
    <w:rsid w:val="00E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53DD"/>
  <w15:docId w15:val="{13B051A1-B416-4916-A59D-09466A6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7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B38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b w:val="0"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olor w:val="auto"/>
    </w:rPr>
  </w:style>
  <w:style w:type="character" w:customStyle="1" w:styleId="ListLabel92">
    <w:name w:val="ListLabel 92"/>
    <w:qFormat/>
    <w:rPr>
      <w:b/>
      <w:bCs w:val="0"/>
    </w:rPr>
  </w:style>
  <w:style w:type="character" w:customStyle="1" w:styleId="ListLabel93">
    <w:name w:val="ListLabel 93"/>
    <w:qFormat/>
    <w:rPr>
      <w:b/>
      <w:color w:val="0070C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37473"/>
    <w:pPr>
      <w:ind w:left="720"/>
      <w:contextualSpacing/>
    </w:pPr>
  </w:style>
  <w:style w:type="table" w:customStyle="1" w:styleId="TableNormal">
    <w:name w:val="Table Normal"/>
    <w:rsid w:val="00637473"/>
    <w:rPr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9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1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rmklin.ump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87D0-43E3-4547-BEA5-2C7C90E1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2</cp:revision>
  <dcterms:created xsi:type="dcterms:W3CDTF">2024-02-02T11:51:00Z</dcterms:created>
  <dcterms:modified xsi:type="dcterms:W3CDTF">2024-02-02T11:51:00Z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