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SKN Farmacji Klinicznej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Sprawozdanie z działalności koła w roku akademickim 2024/2025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Opiekun Koła Naukowego: dr hab. Danuta Szkutnik-Fiedler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Przewodniczący: Konrad Sarnowski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Profil: niezabiegowy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Członkowie Koła (2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Sarnowski Konrad (przewodniczący)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Bayraktar Daria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Chmielewska Julia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Danielczyk Julia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Frąckowiak Paulina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Gajewska Julia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Grudzień Zofia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Jarmoluk Weronika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Jeż Weronika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Kaźmierczak Dominika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Kerner Julia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Kleybor Oliwia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Koźmicka Anna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Kwiatkowska Hania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Mazurkiewicz Sandra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Pawlak Karolina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Rusche Zofia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Sobolewska Dominika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Soińska Gabriela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Stanisławowska Olga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Szkaradkiewicz Joanna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Szramska Paulina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Świder Marta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Wiland Antonina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Wochna Julia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Zielonka 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Spotkania specjalne: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Spotkanie z członkiem Zarządu Polskiego Towarzystwa Farmacji Klinicznej Pani mgr farm. Magdaleny Wieczorek pt. „Farmaceuta kliniczny w Polsce”, 11.02.2025.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Opis: Wraz z prelegentką poddano analizie rolę farmaceuty klinicznego w polskim systemie opieki zdrowotnej. Przeprowadzono analizy przypadków klinicznych ze wskazaniem na problemy natury układu krwionośnego, gdzie konieczna była pomoc farmaceuty klinicznego w trakcie leczenia pacjenta.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Rule="auto"/>
        <w:ind w:left="144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Uczestnictwo w spotkaniu on-line Sekcji Neonatologiczno-Pediatrycznej Polskiego Towarzystwa Farmacji Klinicznej, 13.03. 2025.</w:t>
      </w:r>
    </w:p>
    <w:p w:rsidR="00000000" w:rsidDel="00000000" w:rsidP="00000000" w:rsidRDefault="00000000" w:rsidRPr="00000000" w14:paraId="00000035">
      <w:pPr>
        <w:spacing w:after="0" w:lineRule="auto"/>
        <w:ind w:left="72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Opis: Prelegentki  dr n. farm. Dorota Kołodziej i dr n. farm. Magdalena Olejniczak-Rabinek podczas spotkania wprowadziły studentów w zagadnienie farmacji klinicznej neonatologiczno-pediatrycznej oraz przeprowadzono wspólną analizę przypadków klinicznych z oddziałów prelegentek. </w:t>
      </w:r>
    </w:p>
    <w:p w:rsidR="00000000" w:rsidDel="00000000" w:rsidP="00000000" w:rsidRDefault="00000000" w:rsidRPr="00000000" w14:paraId="00000036">
      <w:pPr>
        <w:spacing w:after="0" w:lineRule="auto"/>
        <w:ind w:left="72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Spotkanie z doktorantką Katedry i Zakładu Farmacji Klinicznej mgr farm. Małgorzaty Bekier pt. „Farmaceuta w sieci”, 08.04.2025.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Opis: Prelegentka zaznajomiła członków koła aspektami związanymi z prowadzeniem jednoosobowej działalności gospodarczej w branży farmaceutycznej opierając się na własnych doświadczeniach. Dodatkowo przedstawiła nam istotne aspekty terapii cukrzycy wraz z case study.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Uczestnictwo on-line w Posiedzeniu Polskiego Towarzystwa Farmacji Klinicznej, 05.06.2025.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Opis: Prelegenci zapoznali członków SKN Farmacja Kliniczna z możliwościami funkcjonowania w obrębie Polskiego Towarzystwa Farmacji Klinicznej, zwrócili również uwagę na dalsze przedsięwzięcia Towarzystwa, które pomogą w rozwoju zawodowym skoncentrowanym na farmacji klinicznej.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Wystąpienia na konferencjach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Konrad Sarnowski, 23rd International Students Scientific Conference in Prague, 29.04.2025;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Regorafenib in combination with trametinib - is there a risk of interaction and/or benefit in melanoma?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Daria Bayraktar,  25th International Congress of Young Medical Scientists, Poznań, 16 -18.05.2025;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Analysis of potential drug interactions of olaparib in patients with ovarian cancer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Konrad Sarnowski, III Sympozjum Polskiego Towarzystwa Farmacji Klinicznej we Wrocławiu, 19-20 września 2025;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Porównanie schematów antybiotykoterapii empirycznej u dzieci z ostrym zapaleniem wyrostka robaczkowego</w:t>
      </w:r>
      <w:r w:rsidDel="00000000" w:rsidR="00000000" w:rsidRPr="00000000">
        <w:rPr>
          <w:b w:val="1"/>
          <w:i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- wyróżnienie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Przyznane Granty Naukowe STN w ramach TOP PROJEKT: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Weronika Jarmołuk, Karolina Pawlak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Wpływ desloratadyny na odpowiedź przeciwnowotworową regorafenibu u larw Danio rerio.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Opiekun naukowy: dr hab. Agnieszka Karbownik, mgr Filip Otto.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Zofia Grudzień, Anna Zielonka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Ocena wpływu metforminy na odpowiedź przeciwnowotworową niraparybu u larw Danio rerio.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Opiekun naukowy: dr hab. Agnieszka Karbownik, mgr Filip Otto.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Julia Wochna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-</w:t>
      </w: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 Wpływ simwastatyny na odpowiedź przeciwnowotworową regorafenibu u larw Danio rerio.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Opiekun naukowy:  mgr Filip Otto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Publikacje naukowe (nazwisko studenta zostało podkreślone)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Pharmacokinetic Study of the Interaction Between Regorafenib and Paracetamol in Male Rats.</w:t>
      </w:r>
    </w:p>
    <w:p w:rsidR="00000000" w:rsidDel="00000000" w:rsidP="00000000" w:rsidRDefault="00000000" w:rsidRPr="00000000" w14:paraId="00000059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Autorzy: K</w:t>
      </w:r>
      <w:r w:rsidDel="00000000" w:rsidR="00000000" w:rsidRPr="00000000">
        <w:rPr>
          <w:sz w:val="24"/>
          <w:szCs w:val="24"/>
          <w:rtl w:val="0"/>
        </w:rPr>
        <w:t xml:space="preserve">arbownik A, Szkutnik-Fiedler D, Otto F, Wolc A, Grabowski T,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Maciejewska Z, Borycka A</w:t>
      </w:r>
      <w:r w:rsidDel="00000000" w:rsidR="00000000" w:rsidRPr="00000000">
        <w:rPr>
          <w:sz w:val="24"/>
          <w:szCs w:val="24"/>
          <w:rtl w:val="0"/>
        </w:rPr>
        <w:t xml:space="preserve">, Szałek E. </w:t>
      </w:r>
    </w:p>
    <w:p w:rsidR="00000000" w:rsidDel="00000000" w:rsidP="00000000" w:rsidRDefault="00000000" w:rsidRPr="00000000" w14:paraId="0000005A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Pharmaceutics. </w:t>
      </w:r>
    </w:p>
    <w:p w:rsidR="00000000" w:rsidDel="00000000" w:rsidP="00000000" w:rsidRDefault="00000000" w:rsidRPr="00000000" w14:paraId="0000005B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Szczegóły: 2024 Oct 28;16(11):1387. doi: 10.3390/pharmaceutics16111387.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 Factor: 5.500,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100.000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Interaction Between Olaparib and Regorafenib in an Animal Model.</w:t>
      </w:r>
    </w:p>
    <w:p w:rsidR="00000000" w:rsidDel="00000000" w:rsidP="00000000" w:rsidRDefault="00000000" w:rsidRPr="00000000" w14:paraId="00000060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Autorzy: Szkutnik-Fiedler D, Karbownik A, Otto F,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Maciejewska J, Kuźnik A, </w:t>
      </w:r>
      <w:r w:rsidDel="00000000" w:rsidR="00000000" w:rsidRPr="00000000">
        <w:rPr>
          <w:sz w:val="24"/>
          <w:szCs w:val="24"/>
          <w:rtl w:val="0"/>
        </w:rPr>
        <w:t xml:space="preserve">Grabowski T, Wolc A, Grześkowiak E, Stanisławiak-Rudowicz J, Szałek E. </w:t>
      </w:r>
    </w:p>
    <w:p w:rsidR="00000000" w:rsidDel="00000000" w:rsidP="00000000" w:rsidRDefault="00000000" w:rsidRPr="00000000" w14:paraId="00000061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Pharmaceutics. </w:t>
      </w:r>
    </w:p>
    <w:p w:rsidR="00000000" w:rsidDel="00000000" w:rsidP="00000000" w:rsidRDefault="00000000" w:rsidRPr="00000000" w14:paraId="00000062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Szczegóły: 2024 Dec 9;16(12):1575. doi: 10.3390/pharmaceutics16121575.</w:t>
      </w:r>
    </w:p>
    <w:p w:rsidR="00000000" w:rsidDel="00000000" w:rsidP="00000000" w:rsidRDefault="00000000" w:rsidRPr="00000000" w14:paraId="00000063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 Factor: 5.500, </w:t>
      </w:r>
    </w:p>
    <w:p w:rsidR="00000000" w:rsidDel="00000000" w:rsidP="00000000" w:rsidRDefault="00000000" w:rsidRPr="00000000" w14:paraId="00000064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100.000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Zmiany farmakokinetyki leków przeciwbakteryjnych w otyłości – część 2. </w:t>
      </w:r>
      <w:r w:rsidDel="00000000" w:rsidR="00000000" w:rsidRPr="00000000">
        <w:rPr>
          <w:sz w:val="24"/>
          <w:szCs w:val="24"/>
          <w:rtl w:val="0"/>
        </w:rPr>
        <w:t xml:space="preserve">Autorzy: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Aleksandra Pawska, Konrad Sarnowski, Daria Bayraktar, Sandra Mazurkiewicz, Katarzyna Wawrzyniak, Olga Stanisławowska, Marta Świder, Weronika Ziętkiewicz, Gabriela Brzozowska, Oliwia Kleybor</w:t>
      </w:r>
      <w:r w:rsidDel="00000000" w:rsidR="00000000" w:rsidRPr="00000000">
        <w:rPr>
          <w:sz w:val="24"/>
          <w:szCs w:val="24"/>
          <w:rtl w:val="0"/>
        </w:rPr>
        <w:t xml:space="preserve">, Danuta Szkutnik-Fiedler;</w:t>
      </w:r>
    </w:p>
    <w:p w:rsidR="00000000" w:rsidDel="00000000" w:rsidP="00000000" w:rsidRDefault="00000000" w:rsidRPr="00000000" w14:paraId="00000067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Farmacja Współczesna;</w:t>
      </w:r>
    </w:p>
    <w:p w:rsidR="00000000" w:rsidDel="00000000" w:rsidP="00000000" w:rsidRDefault="00000000" w:rsidRPr="00000000" w14:paraId="00000068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Szczegóły: 2025 : T. 18, nr 3, s. 31-40; doi: 10.53139/fw.20251805;</w:t>
      </w:r>
    </w:p>
    <w:p w:rsidR="00000000" w:rsidDel="00000000" w:rsidP="00000000" w:rsidRDefault="00000000" w:rsidRPr="00000000" w14:paraId="00000069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20.000</w:t>
      </w:r>
    </w:p>
    <w:p w:rsidR="00000000" w:rsidDel="00000000" w:rsidP="00000000" w:rsidRDefault="00000000" w:rsidRPr="00000000" w14:paraId="0000006A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SIBO – charakterystyka, metody diagnostyczne i rola diety</w:t>
      </w:r>
    </w:p>
    <w:p w:rsidR="00000000" w:rsidDel="00000000" w:rsidP="00000000" w:rsidRDefault="00000000" w:rsidRPr="00000000" w14:paraId="0000006C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Autorzy: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Zofia Grudzień, Anna Zielonka, Julia Chmielewska, Karolina Pawlak, Marta Świder</w:t>
      </w:r>
      <w:r w:rsidDel="00000000" w:rsidR="00000000" w:rsidRPr="00000000">
        <w:rPr>
          <w:sz w:val="24"/>
          <w:szCs w:val="24"/>
          <w:rtl w:val="0"/>
        </w:rPr>
        <w:t xml:space="preserve">, Danuta Szkutnik-Fiedler;</w:t>
      </w:r>
    </w:p>
    <w:p w:rsidR="00000000" w:rsidDel="00000000" w:rsidP="00000000" w:rsidRDefault="00000000" w:rsidRPr="00000000" w14:paraId="0000006D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Farmacja Współczesna;</w:t>
      </w:r>
    </w:p>
    <w:p w:rsidR="00000000" w:rsidDel="00000000" w:rsidP="00000000" w:rsidRDefault="00000000" w:rsidRPr="00000000" w14:paraId="0000006E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20.000</w:t>
      </w:r>
    </w:p>
    <w:p w:rsidR="00000000" w:rsidDel="00000000" w:rsidP="00000000" w:rsidRDefault="00000000" w:rsidRPr="00000000" w14:paraId="0000006F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Szczegóły: 2025 : T. 18, nr 2, s. 96-104; DOI: 10.53139/FW.20251817;</w:t>
      </w:r>
    </w:p>
    <w:p w:rsidR="00000000" w:rsidDel="00000000" w:rsidP="00000000" w:rsidRDefault="00000000" w:rsidRPr="00000000" w14:paraId="00000070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Ostre zapalenie wyrostka robaczkowego – patomechanizm, diagnostyka i farmakoterapia ze szczególnym uwzględnieniem populacji pediatrycznej. </w:t>
      </w:r>
    </w:p>
    <w:p w:rsidR="00000000" w:rsidDel="00000000" w:rsidP="00000000" w:rsidRDefault="00000000" w:rsidRPr="00000000" w14:paraId="00000072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Autorzy: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Konrad Sarnowski, Julia Kerner, Antonina Wiland, Zofia Rusche, Paulina Frąckowiak,</w:t>
      </w:r>
      <w:r w:rsidDel="00000000" w:rsidR="00000000" w:rsidRPr="00000000">
        <w:rPr>
          <w:sz w:val="24"/>
          <w:szCs w:val="24"/>
          <w:rtl w:val="0"/>
        </w:rPr>
        <w:t xml:space="preserve"> Danuta Szkutnik-Fiedler;</w:t>
      </w:r>
    </w:p>
    <w:p w:rsidR="00000000" w:rsidDel="00000000" w:rsidP="00000000" w:rsidRDefault="00000000" w:rsidRPr="00000000" w14:paraId="00000073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Farmacja Współczesna;</w:t>
      </w:r>
    </w:p>
    <w:p w:rsidR="00000000" w:rsidDel="00000000" w:rsidP="00000000" w:rsidRDefault="00000000" w:rsidRPr="00000000" w14:paraId="00000074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20.000</w:t>
      </w:r>
    </w:p>
    <w:p w:rsidR="00000000" w:rsidDel="00000000" w:rsidP="00000000" w:rsidRDefault="00000000" w:rsidRPr="00000000" w14:paraId="00000075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lineRule="auto"/>
        <w:ind w:left="144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SIBO – farmakoterapia, terapie wspomagające i wpływ chorób współistniejących</w:t>
      </w:r>
    </w:p>
    <w:p w:rsidR="00000000" w:rsidDel="00000000" w:rsidP="00000000" w:rsidRDefault="00000000" w:rsidRPr="00000000" w14:paraId="00000077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Autorzy: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Marta Świder, Karolina Pawlak , Anna Zielonka, Zofia Grudzień, Julia Chmielewska,</w:t>
      </w:r>
      <w:r w:rsidDel="00000000" w:rsidR="00000000" w:rsidRPr="00000000">
        <w:rPr>
          <w:sz w:val="24"/>
          <w:szCs w:val="24"/>
          <w:rtl w:val="0"/>
        </w:rPr>
        <w:t xml:space="preserve"> Danuta Szkutnik-Fiedler;</w:t>
      </w:r>
    </w:p>
    <w:p w:rsidR="00000000" w:rsidDel="00000000" w:rsidP="00000000" w:rsidRDefault="00000000" w:rsidRPr="00000000" w14:paraId="00000078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Czasopismo: Farmacja Współczesna;</w:t>
      </w:r>
    </w:p>
    <w:p w:rsidR="00000000" w:rsidDel="00000000" w:rsidP="00000000" w:rsidRDefault="00000000" w:rsidRPr="00000000" w14:paraId="00000079">
      <w:pPr>
        <w:spacing w:after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Punktacja MNiSW: 20.000</w:t>
      </w:r>
    </w:p>
    <w:p w:rsidR="00000000" w:rsidDel="00000000" w:rsidP="00000000" w:rsidRDefault="00000000" w:rsidRPr="00000000" w14:paraId="0000007A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Współpraca koła z innymi jednostkami dydaktyczno-naukowymi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Laboratorium Genomiki i Transkryptomiki Uniwersytetu Warmińsko-Mazurskiego w Olsztynie.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Opis: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Współpraca w zakresie badań przedklinicznych dotyczących  odpowiedzi przeciwnowotworowej wybranych leków u larw Danio rerio. W zakresie współpracy były wyjazdy członków SKN Farmacja Kliniczna do Laboratorium podczas których odbywały się szkolenia wraz z przeprowadzaniem badań.  Efektem jest uzyskanie trzech grantów naukowych STN w ramach TOP-PROJEKT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4456F9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3010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010E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atSyLk+Zg5thPW5tXKJVG7DxQ==">CgMxLjA4AHIhMVNyeXNIMEQ3VlUyckVnZmxjb1FaV1AyYzh0dVJOVnJ1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2024-08-05T11:29:00Z</dcterms:created>
  <dc:creator>Aleksandra Borycka</dc:creator>
</cp:coreProperties>
</file>